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无违法记录声明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小标宋简体" w:eastAsia="方正小标宋简体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我单位 ______________________（申请人）及推荐律师团队郑重声明：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我单位无违法记录，未受过司法行政管理机关的行政处罚，近五年未受过律师协会行业处分；推荐律师团队的律师近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年未受过司法行政管理机关的行政处罚或律师协会的行业处分。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申请人（公章）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律师团队全体成员（签名）：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0"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日 期：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OWJjNTNhMzFkNTVlOTYwMTQwZjk5NzZhZmRiNTkifQ=="/>
  </w:docVars>
  <w:rsids>
    <w:rsidRoot w:val="1C13303B"/>
    <w:rsid w:val="156F6E22"/>
    <w:rsid w:val="1C1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/>
      <w:szCs w:val="2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2024-02-22T06:19:00Z</dcterms:created>
  <dc:creator>汪萍</dc:creator>
  <cp:lastModifiedBy>任骁俐</cp:lastModifiedBy>
  <dcterms:modified xsi:type="dcterms:W3CDTF">2024-02-22T06:37:52Z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0C0415ED8FB542F2B074E3BC20F99009_13</vt:lpwstr>
  </property>
</Properties>
</file>